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0" w:after="200"/>
        <w:jc w:val="center"/>
        <w:rPr/>
      </w:pPr>
      <w:r>
        <w:rPr>
          <w:rFonts w:ascii="Times New Roman" w:hAnsi="Times New Roman"/>
          <w:b/>
          <w:smallCaps/>
          <w:color w:val="000000" w:themeColor="text1"/>
          <w:sz w:val="32"/>
          <w:szCs w:val="32"/>
          <w:shd w:fill="FFFFFF" w:val="clear"/>
          <w:lang w:val="cs-CZ"/>
        </w:rPr>
        <w:t>Prohlášení o ochraně osobních údajů</w:t>
      </w:r>
    </w:p>
    <w:p>
      <w:pPr>
        <w:pStyle w:val="Normal"/>
        <w:spacing w:before="200" w:after="200"/>
        <w:jc w:val="center"/>
        <w:rPr>
          <w:rFonts w:ascii="Times New Roman" w:hAnsi="Times New Roman"/>
          <w:b/>
          <w:b/>
          <w:smallCaps/>
          <w:color w:val="000000" w:themeColor="text1"/>
          <w:sz w:val="32"/>
          <w:szCs w:val="32"/>
          <w:highlight w:val="white"/>
          <w:lang w:val="cs-CZ"/>
        </w:rPr>
      </w:pPr>
      <w:r>
        <w:rPr>
          <w:rFonts w:ascii="Times New Roman" w:hAnsi="Times New Roman"/>
          <w:b/>
          <w:smallCaps/>
          <w:color w:val="000000" w:themeColor="text1"/>
          <w:sz w:val="32"/>
          <w:szCs w:val="32"/>
          <w:highlight w:val="white"/>
          <w:lang w:val="cs-CZ"/>
        </w:rPr>
      </w:r>
    </w:p>
    <w:p>
      <w:pPr>
        <w:pStyle w:val="Normal"/>
        <w:jc w:val="left"/>
        <w:rPr/>
      </w:pPr>
      <w:r>
        <w:rPr>
          <w:rFonts w:ascii="Times New Roman" w:hAnsi="Times New Roman"/>
          <w:color w:val="000000" w:themeColor="text1"/>
          <w:sz w:val="22"/>
          <w:szCs w:val="22"/>
          <w:shd w:fill="FFFFFF" w:val="clear"/>
          <w:lang w:val="cs-CZ"/>
        </w:rPr>
        <w:t xml:space="preserve">Pokud vaše děti navštěvují naši školu – </w:t>
      </w:r>
      <w:r>
        <w:rPr>
          <w:rFonts w:ascii="Times New Roman" w:hAnsi="Times New Roman"/>
          <w:color w:val="000000" w:themeColor="text1"/>
          <w:sz w:val="22"/>
          <w:szCs w:val="22"/>
          <w:shd w:fill="FFFFFF" w:val="clear"/>
          <w:lang w:val="cs-CZ"/>
        </w:rPr>
        <w:t>Mateřská škola Letohrad, Taušlova</w:t>
      </w:r>
      <w:r>
        <w:rPr>
          <w:rFonts w:ascii="Times New Roman" w:hAnsi="Times New Roman"/>
          <w:color w:val="000000" w:themeColor="text1"/>
          <w:sz w:val="22"/>
          <w:szCs w:val="22"/>
          <w:shd w:fill="FFFFFF" w:val="clear"/>
          <w:lang w:val="cs-CZ"/>
        </w:rPr>
        <w:t xml:space="preserve">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pPr>
        <w:pStyle w:val="Normal"/>
        <w:jc w:val="left"/>
        <w:rPr>
          <w:rFonts w:ascii="Times New Roman" w:hAnsi="Times New Roman"/>
        </w:rPr>
      </w:pPr>
      <w:r>
        <w:rPr>
          <w:rFonts w:ascii="Times New Roman" w:hAnsi="Times New Roman"/>
          <w:color w:val="000000" w:themeColor="text1"/>
          <w:sz w:val="22"/>
          <w:szCs w:val="22"/>
          <w:shd w:fill="FFFFFF" w:val="clear"/>
          <w:lang w:val="cs-CZ"/>
        </w:rPr>
        <w:t>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 můžete nás navštívit na adrese Taušlova 192, 561 51 Letohrad nebo nás kontaktovat prostřednictvím e-mailu skolka@tauslovka.cz .</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 Schola Servis GDPR, s.r.o., se sídlem Palackého 150/8, 796 01 Prostějov, IČ: 04223748 a kontaktovat jej můžete na mob.: 732 464 854, 732 657 386, 733 281 378, email: poverenec@gdprdoskol.cz</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V prohlášení o ochraně osobních údajů je například vysvětleno:</w:t>
      </w:r>
    </w:p>
    <w:p>
      <w:pPr>
        <w:pStyle w:val="Normal"/>
        <w:numPr>
          <w:ilvl w:val="0"/>
          <w:numId w:val="1"/>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Jaké informace (osobní údaje) shromažďujeme, z jakého důvodu a na základě jakého právního titulu</w:t>
      </w:r>
    </w:p>
    <w:p>
      <w:pPr>
        <w:pStyle w:val="Normal"/>
        <w:numPr>
          <w:ilvl w:val="0"/>
          <w:numId w:val="1"/>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Jak tyto informace využíváme</w:t>
      </w:r>
    </w:p>
    <w:p>
      <w:pPr>
        <w:pStyle w:val="Normal"/>
        <w:numPr>
          <w:ilvl w:val="0"/>
          <w:numId w:val="1"/>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 jakou dobu budeme s těmito informacemi nakládat</w:t>
      </w:r>
    </w:p>
    <w:p>
      <w:pPr>
        <w:pStyle w:val="Normal"/>
        <w:numPr>
          <w:ilvl w:val="0"/>
          <w:numId w:val="1"/>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Kdo může do osobních údajů nahlížet (tzv. příjemci osobních údajů)</w:t>
      </w:r>
    </w:p>
    <w:p>
      <w:pPr>
        <w:pStyle w:val="Normal"/>
        <w:numPr>
          <w:ilvl w:val="0"/>
          <w:numId w:val="1"/>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Jaká mají děti a jejich zákonní zástupci práva vůči správci osobních údajů</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Snažíme se, aby tento dokument byl přehledný a srozumitelný. Pokud se však stane, že některé výrazy úplně neznáte, neboť se jedná o právní pojmy (jako například zpracovatel osobních údajů, pseudonymizace apod.), pak neváhejte a obraťte se na nás nebo na pověřence. Rádi vám podrobnosti vysvětlíme.</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pPr>
      <w:r>
        <w:rPr>
          <w:rFonts w:ascii="Times New Roman" w:hAnsi="Times New Roman"/>
          <w:color w:val="000000" w:themeColor="text1"/>
          <w:sz w:val="22"/>
          <w:szCs w:val="22"/>
          <w:shd w:fill="FFFFFF" w:val="clear"/>
          <w:lang w:val="cs-CZ"/>
        </w:rPr>
        <w:t>Informace, se kterými nakládáme a doba jejich zpracování</w:t>
      </w:r>
      <w:r>
        <w:rPr>
          <w:rFonts w:ascii="Times New Roman" w:hAnsi="Times New Roman"/>
          <w:color w:val="000000" w:themeColor="text1"/>
          <w:sz w:val="22"/>
          <w:szCs w:val="22"/>
          <w:highlight w:val="white"/>
          <w:highlight w:val="white"/>
          <w:lang w:val="cs-CZ"/>
        </w:rPr>
        <w:t>.</w:t>
      </w:r>
    </w:p>
    <w:p>
      <w:pPr>
        <w:pStyle w:val="Normal"/>
        <w:jc w:val="left"/>
        <w:rPr>
          <w:rFonts w:ascii="Times New Roman" w:hAnsi="Times New Roman"/>
          <w:b/>
          <w:b/>
          <w:color w:val="000000" w:themeColor="text1"/>
          <w:sz w:val="22"/>
          <w:szCs w:val="22"/>
          <w:shd w:fill="FFFFFF" w:val="clear"/>
          <w:lang w:val="cs-CZ"/>
        </w:rPr>
      </w:pPr>
      <w:r>
        <w:rPr>
          <w:rFonts w:ascii="Times New Roman" w:hAnsi="Times New Roman"/>
          <w:b/>
          <w:color w:val="000000" w:themeColor="text1"/>
          <w:sz w:val="22"/>
          <w:szCs w:val="22"/>
          <w:shd w:fill="FFFFFF" w:val="clear"/>
          <w:lang w:val="cs-CZ"/>
        </w:rPr>
      </w:r>
    </w:p>
    <w:p>
      <w:pPr>
        <w:pStyle w:val="Normal"/>
        <w:jc w:val="left"/>
        <w:rPr>
          <w:rFonts w:ascii="Times New Roman" w:hAnsi="Times New Roman"/>
          <w:b/>
          <w:b/>
          <w:color w:val="000000" w:themeColor="text1"/>
          <w:sz w:val="22"/>
          <w:szCs w:val="22"/>
          <w:shd w:fill="FFFFFF" w:val="clear"/>
          <w:lang w:val="cs-CZ"/>
        </w:rPr>
      </w:pPr>
      <w:r>
        <w:rPr>
          <w:rFonts w:ascii="Times New Roman" w:hAnsi="Times New Roman"/>
          <w:b/>
          <w:color w:val="000000" w:themeColor="text1"/>
          <w:sz w:val="22"/>
          <w:szCs w:val="22"/>
          <w:shd w:fill="FFFFFF" w:val="clear"/>
          <w:lang w:val="cs-CZ"/>
        </w:rPr>
      </w:r>
    </w:p>
    <w:p>
      <w:pPr>
        <w:pStyle w:val="Normal"/>
        <w:jc w:val="left"/>
        <w:rPr>
          <w:rFonts w:ascii="Times New Roman" w:hAnsi="Times New Roman"/>
          <w:b/>
          <w:b/>
          <w:color w:val="000000" w:themeColor="text1"/>
          <w:sz w:val="22"/>
          <w:szCs w:val="22"/>
          <w:highlight w:val="white"/>
          <w:lang w:val="cs-CZ"/>
        </w:rPr>
      </w:pPr>
      <w:r>
        <w:rPr>
          <w:rFonts w:ascii="Times New Roman" w:hAnsi="Times New Roman"/>
          <w:b/>
          <w:color w:val="000000" w:themeColor="text1"/>
          <w:sz w:val="22"/>
          <w:szCs w:val="22"/>
          <w:highlight w:val="white"/>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Správní řízení</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Pokud se hlásíte k nám do mateřské školy, pak nejprve vyplňujete přihlášku ke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w:t>
      </w:r>
      <w:r>
        <w:rPr>
          <w:rStyle w:val="Ukotvenpoznmkypodarou"/>
          <w:rFonts w:ascii="Times New Roman" w:hAnsi="Times New Roman"/>
          <w:color w:val="000000" w:themeColor="text1"/>
          <w:sz w:val="22"/>
          <w:szCs w:val="22"/>
          <w:shd w:fill="FFFFFF" w:val="clear"/>
          <w:lang w:val="cs-CZ"/>
        </w:rPr>
        <w:footnoteReference w:id="2"/>
      </w:r>
      <w:r>
        <w:rPr>
          <w:rFonts w:ascii="Times New Roman" w:hAnsi="Times New Roman"/>
          <w:color w:val="000000" w:themeColor="text1"/>
          <w:sz w:val="22"/>
          <w:szCs w:val="22"/>
          <w:shd w:fill="FFFFFF" w:val="clear"/>
          <w:lang w:val="cs-CZ"/>
        </w:rPr>
        <w:t xml:space="preserve"> Abychom mohli takové správní řízení konat, potřebujeme znát následující základní identifikační nebo popisné osobní údaje:</w:t>
      </w:r>
    </w:p>
    <w:p>
      <w:pPr>
        <w:pStyle w:val="Normal"/>
        <w:numPr>
          <w:ilvl w:val="0"/>
          <w:numId w:val="2"/>
        </w:numPr>
        <w:jc w:val="left"/>
        <w:rPr/>
      </w:pPr>
      <w:r>
        <w:rPr>
          <w:rFonts w:ascii="Times New Roman" w:hAnsi="Times New Roman"/>
          <w:color w:val="000000" w:themeColor="text1"/>
          <w:sz w:val="22"/>
          <w:szCs w:val="22"/>
          <w:shd w:fill="FFFFFF" w:val="clear"/>
          <w:lang w:val="cs-CZ"/>
        </w:rPr>
        <w:t xml:space="preserve">dítěte: jméno a příjmení, datum narození, případně rodné číslo, místo trvalého pobytu nebo adresa pro doručování písemností, údaj o očkování </w:t>
      </w:r>
    </w:p>
    <w:p>
      <w:pPr>
        <w:pStyle w:val="Normal"/>
        <w:numPr>
          <w:ilvl w:val="1"/>
          <w:numId w:val="2"/>
        </w:numPr>
        <w:jc w:val="left"/>
        <w:rPr/>
      </w:pPr>
      <w:r>
        <w:rPr>
          <w:rFonts w:ascii="Times New Roman" w:hAnsi="Times New Roman"/>
          <w:color w:val="000000" w:themeColor="text1"/>
          <w:sz w:val="22"/>
          <w:szCs w:val="22"/>
          <w:shd w:fill="FFFFFF" w:val="clear"/>
          <w:lang w:val="cs-CZ"/>
        </w:rPr>
        <w:t>může se také stát, že se budeme doptávat na další informace, a to údaj o předchozím vzdělávání, zdravotní stav (např. alergie), zvláštní zájmy nebo problémy, zda má žák sourozence nebo zda je zájem o navštěvování školní družiny</w:t>
      </w:r>
      <w:r>
        <w:rPr>
          <w:rStyle w:val="Ukotvenpoznmkypodarou"/>
          <w:rFonts w:ascii="Times New Roman" w:hAnsi="Times New Roman"/>
          <w:color w:val="000000" w:themeColor="text1"/>
          <w:sz w:val="22"/>
          <w:szCs w:val="22"/>
          <w:shd w:fill="FFFFFF" w:val="clear"/>
          <w:lang w:val="cs-CZ"/>
        </w:rPr>
        <w:footnoteReference w:id="3"/>
      </w:r>
      <w:r>
        <w:rPr>
          <w:rFonts w:ascii="Times New Roman" w:hAnsi="Times New Roman"/>
          <w:color w:val="000000" w:themeColor="text1"/>
          <w:sz w:val="22"/>
          <w:szCs w:val="22"/>
          <w:shd w:fill="FFFFFF" w:val="clear"/>
          <w:lang w:val="cs-CZ"/>
        </w:rPr>
        <w:t xml:space="preserve"> - v případě nezbytných informací o zdravotním stavu se jedná o zvláštní kategorii údajů – tzv. citlivé údaje</w:t>
      </w:r>
    </w:p>
    <w:p>
      <w:pPr>
        <w:pStyle w:val="Normal"/>
        <w:numPr>
          <w:ilvl w:val="0"/>
          <w:numId w:val="2"/>
        </w:numPr>
        <w:jc w:val="left"/>
        <w:rPr/>
      </w:pPr>
      <w:r>
        <w:rPr>
          <w:rFonts w:ascii="Times New Roman" w:hAnsi="Times New Roman"/>
          <w:color w:val="000000" w:themeColor="text1"/>
          <w:sz w:val="22"/>
          <w:szCs w:val="22"/>
          <w:shd w:fill="FFFFFF" w:val="clear"/>
          <w:lang w:val="cs-CZ"/>
        </w:rPr>
        <w:t>u dětí dále shromažďujeme údaj o zdravotní pojišťovně</w:t>
      </w:r>
    </w:p>
    <w:p>
      <w:pPr>
        <w:pStyle w:val="Normal"/>
        <w:numPr>
          <w:ilvl w:val="0"/>
          <w:numId w:val="2"/>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zákonný zástupce: jméno a příjmení, adresa trvalého pobytu nebo adresa pro doručování písemností, ID datové schránky (pokud byla zpřístupněna), telefonní číslo nebo e-mail</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Tyto osobní údaje zpracováváme za účelem plnění právní povinnosti, a to vedení správního řízení (řízení o rozhodnutí o přijetí k (předškolnímu) vzdělávání). Právním titulem pro zacházení s těmito informacemi je podle článku 6 odst. 1 písm. c) GDPR</w:t>
      </w:r>
      <w:r>
        <w:rPr>
          <w:rStyle w:val="Ukotvenpoznmkypodarou"/>
          <w:rFonts w:ascii="Times New Roman" w:hAnsi="Times New Roman"/>
          <w:color w:val="000000" w:themeColor="text1"/>
          <w:sz w:val="22"/>
          <w:szCs w:val="22"/>
          <w:shd w:fill="FFFFFF" w:val="clear"/>
          <w:lang w:val="cs-CZ"/>
        </w:rPr>
        <w:footnoteReference w:id="4"/>
      </w:r>
      <w:r>
        <w:rPr>
          <w:rFonts w:ascii="Times New Roman" w:hAnsi="Times New Roman"/>
          <w:color w:val="000000" w:themeColor="text1"/>
          <w:sz w:val="22"/>
          <w:szCs w:val="22"/>
          <w:shd w:fill="FFFFFF" w:val="clear"/>
          <w:lang w:val="cs-CZ"/>
        </w:rPr>
        <w:t xml:space="preserve"> plnění právní povinnosti, a to podle ust. § 34, § 34a, § 34b a/nebo § 36, § 46 zákona č. 561/2004 Sb., školský zákon a dále zákon č. 500/2004 Sb., správní řád, jakož i prováděcí právní předpisy k uvedeným zákonům.</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Za účelem vedení správního řízení osobní údaje shromažďujeme (archivujeme) po dobu, která je stanovená ve spisovém a skartačním plánu školy. V případě žádostí o přijetí k předškolnímu vzdělávání a rozhodnutí o této žádosti se jedná o dobu 5 let a rozhodnutí o této žádosti se jedná o dobu 10 let.</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Řízení o přijetí k vzdělávání není jediným správním řízením, které se při vzdělávání dětí může konat. Další řízení mohou být např. řízení o ukončení individuálního vzdělávání dítěte (§ 34b odst. 5 školského zákona) apod. V rámci této činnosti se zpracovávají pouze údaje nezbytné pro vedení takového řízení, tj. údaje, které jsou vyjmenovány výše. U správních rozhodnutí o zahájení / ukončení individuálního vzdělávacího plánu je doba archivace 10 let.</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rFonts w:ascii="Times New Roman" w:hAnsi="Times New Roman"/>
          <w:b/>
          <w:b/>
          <w:color w:val="000000" w:themeColor="text1"/>
          <w:sz w:val="22"/>
          <w:szCs w:val="22"/>
          <w:shd w:fill="FFFFFF" w:val="clear"/>
          <w:lang w:val="cs-CZ"/>
        </w:rPr>
      </w:pPr>
      <w:r>
        <w:rPr>
          <w:rFonts w:ascii="Times New Roman" w:hAnsi="Times New Roman"/>
          <w:b/>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Matrika dětí, žáků a studentů a ostatní dokumentace škol</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pPr>
        <w:pStyle w:val="Normal"/>
        <w:numPr>
          <w:ilvl w:val="0"/>
          <w:numId w:val="3"/>
        </w:numPr>
        <w:jc w:val="left"/>
        <w:rPr/>
      </w:pPr>
      <w:r>
        <w:rPr>
          <w:rFonts w:ascii="Times New Roman" w:hAnsi="Times New Roman"/>
          <w:color w:val="000000" w:themeColor="text1"/>
          <w:sz w:val="22"/>
          <w:szCs w:val="22"/>
          <w:shd w:fill="FFFFFF" w:val="clear"/>
          <w:lang w:val="cs-CZ"/>
        </w:rPr>
        <w:t>dítěte: jméno a příjmení, rodné číslo, datum narození, státní občanství, místo narození a místo trvalého pobytu, popřípadě místo pobytu na území České republiky podle druhu pobytu cizince nebo místo pobytu v zahraničí nepobývá-li dítě na území ČR,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datum ukončení vzdělávání ve škole</w:t>
      </w:r>
    </w:p>
    <w:p>
      <w:pPr>
        <w:pStyle w:val="Normal"/>
        <w:numPr>
          <w:ilvl w:val="1"/>
          <w:numId w:val="3"/>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pPr>
        <w:pStyle w:val="Normal"/>
        <w:numPr>
          <w:ilvl w:val="0"/>
          <w:numId w:val="3"/>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zákonného zástupce: jméno a příjmení zákonného zástupce, místo trvalého pobytu nebo bydliště, pokud nemá na území České republiky místo trvalého pobytu, a adresu pro doručování písemností, telefonické spojení</w:t>
      </w:r>
    </w:p>
    <w:p>
      <w:pPr>
        <w:pStyle w:val="Normal"/>
        <w:numPr>
          <w:ilvl w:val="1"/>
          <w:numId w:val="3"/>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zde se jedná o základní identifikační nebo popisné osobní údaje</w:t>
      </w:r>
    </w:p>
    <w:p>
      <w:pPr>
        <w:pStyle w:val="Normal"/>
        <w:numPr>
          <w:ilvl w:val="0"/>
          <w:numId w:val="3"/>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pPr>
      <w:r>
        <w:rPr>
          <w:rFonts w:ascii="Times New Roman" w:hAnsi="Times New Roman"/>
          <w:color w:val="000000" w:themeColor="text1"/>
          <w:sz w:val="22"/>
          <w:szCs w:val="22"/>
          <w:shd w:fill="FFFFFF" w:val="clear"/>
          <w:lang w:val="cs-CZ"/>
        </w:rPr>
        <w:t>Tyto osobní údaje zpracováváme za účelem plnění právní povinnosti – vedení evidence dětí,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Pr>
          <w:rStyle w:val="Ukotvenpoznmkypodarou"/>
          <w:rFonts w:ascii="Times New Roman" w:hAnsi="Times New Roman"/>
          <w:color w:val="000000" w:themeColor="text1"/>
          <w:sz w:val="22"/>
          <w:szCs w:val="22"/>
          <w:shd w:fill="FFFFFF" w:val="clear"/>
          <w:lang w:val="cs-CZ"/>
        </w:rPr>
        <w:footnoteReference w:id="5"/>
      </w:r>
      <w:r>
        <w:rPr>
          <w:rFonts w:ascii="Times New Roman" w:hAnsi="Times New Roman"/>
          <w:color w:val="000000" w:themeColor="text1"/>
          <w:sz w:val="22"/>
          <w:szCs w:val="22"/>
          <w:shd w:fill="FFFFFF" w:val="clear"/>
          <w:lang w:val="cs-CZ"/>
        </w:rPr>
        <w:t>, a to po dobu 50 let, ledaže se jedná archiválie podle bodu 16 přílohy č. 2 zákona o archivnictví a spisové službě, které se vždy povinně předkládají státnímu archivu k výběru za archiválie.</w:t>
      </w:r>
    </w:p>
    <w:p>
      <w:pPr>
        <w:pStyle w:val="Normal"/>
        <w:jc w:val="left"/>
        <w:rPr/>
      </w:pPr>
      <w:r>
        <w:rPr>
          <w:rFonts w:ascii="Times New Roman" w:hAnsi="Times New Roman"/>
          <w:color w:val="000000" w:themeColor="text1"/>
          <w:sz w:val="22"/>
          <w:szCs w:val="22"/>
          <w:shd w:fill="FFFFFF" w:val="clear"/>
          <w:lang w:val="cs-CZ"/>
        </w:rPr>
        <w:t>Školní matriky nejsou však jediným dokumentem, které má škola povinnost vypracovávat. Mezi další povinné dokumenty, kde se objevují osobní údaje dětí,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opět prováděno na základě plnění právních povinností, a tedy v souladu s článkem 6 odst. 1 písm. c) GDPR.</w:t>
      </w:r>
    </w:p>
    <w:p>
      <w:pPr>
        <w:pStyle w:val="Normal"/>
        <w:jc w:val="left"/>
        <w:rPr>
          <w:rFonts w:ascii="Times New Roman" w:hAnsi="Times New Roman"/>
          <w:b/>
          <w:b/>
          <w:color w:val="000000" w:themeColor="text1"/>
          <w:sz w:val="22"/>
          <w:szCs w:val="22"/>
          <w:highlight w:val="white"/>
          <w:lang w:val="cs-CZ"/>
        </w:rPr>
      </w:pPr>
      <w:r>
        <w:rPr/>
      </w:r>
    </w:p>
    <w:p>
      <w:pPr>
        <w:pStyle w:val="Normal"/>
        <w:jc w:val="left"/>
        <w:rPr>
          <w:rFonts w:ascii="Times New Roman" w:hAnsi="Times New Roman"/>
          <w:color w:val="000000" w:themeColor="text1"/>
          <w:sz w:val="22"/>
          <w:szCs w:val="22"/>
          <w:highlight w:val="white"/>
          <w:lang w:val="cs-CZ"/>
        </w:rPr>
      </w:pPr>
      <w:r>
        <w:rPr/>
      </w:r>
    </w:p>
    <w:p>
      <w:pPr>
        <w:pStyle w:val="Normal"/>
        <w:jc w:val="left"/>
        <w:rPr/>
      </w:pPr>
      <w:r>
        <w:rPr>
          <w:rFonts w:ascii="Times New Roman" w:hAnsi="Times New Roman"/>
          <w:b/>
          <w:color w:val="000000" w:themeColor="text1"/>
          <w:sz w:val="22"/>
          <w:szCs w:val="22"/>
          <w:shd w:fill="FFFFFF" w:val="clear"/>
          <w:lang w:val="cs-CZ"/>
        </w:rPr>
        <w:t xml:space="preserve">Stravování </w:t>
      </w:r>
    </w:p>
    <w:p>
      <w:pPr>
        <w:pStyle w:val="Normal"/>
        <w:jc w:val="left"/>
        <w:rPr/>
      </w:pPr>
      <w:r>
        <w:rPr>
          <w:rFonts w:ascii="Times New Roman" w:hAnsi="Times New Roman"/>
          <w:color w:val="000000" w:themeColor="text1"/>
          <w:sz w:val="22"/>
          <w:szCs w:val="22"/>
          <w:shd w:fill="FFFFFF" w:val="clear"/>
          <w:lang w:val="cs-CZ"/>
        </w:rPr>
        <w:t xml:space="preserve">Abychom mohli dětem </w:t>
      </w:r>
      <w:r>
        <w:rPr>
          <w:rFonts w:ascii="Times New Roman" w:hAnsi="Times New Roman"/>
          <w:color w:val="000000" w:themeColor="text1"/>
          <w:sz w:val="22"/>
          <w:szCs w:val="22"/>
          <w:shd w:fill="FFFFFF" w:val="clear"/>
          <w:lang w:val="cs-CZ"/>
        </w:rPr>
        <w:t>p</w:t>
      </w:r>
      <w:r>
        <w:rPr>
          <w:rFonts w:ascii="Times New Roman" w:hAnsi="Times New Roman"/>
          <w:color w:val="000000" w:themeColor="text1"/>
          <w:sz w:val="22"/>
          <w:szCs w:val="22"/>
          <w:shd w:fill="FFFFFF" w:val="clear"/>
          <w:lang w:val="cs-CZ"/>
        </w:rPr>
        <w:t>oskytovat stravovací služby, pak i za tímto účelem musíme zpracovávat informace, které jsou uváděny nejčastěji v přihláškách ke stravování. Jedná se o následující osobní údaje:</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pPr>
        <w:pStyle w:val="Normal"/>
        <w:numPr>
          <w:ilvl w:val="1"/>
          <w:numId w:val="3"/>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zákonných zástupců: jméno a příjmení, adresa trvalého pobytu nebo bydliště (kontaktní adresa), telefonické spojení nebo email, číslo bankovního účtu</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Prezentace školy a bezpečnost</w:t>
      </w:r>
    </w:p>
    <w:p>
      <w:pPr>
        <w:pStyle w:val="Normal"/>
        <w:jc w:val="left"/>
        <w:rPr/>
      </w:pPr>
      <w:r>
        <w:rPr>
          <w:rFonts w:ascii="Times New Roman" w:hAnsi="Times New Roman"/>
          <w:color w:val="000000" w:themeColor="text1"/>
          <w:sz w:val="22"/>
          <w:szCs w:val="22"/>
          <w:shd w:fill="FFFFFF" w:val="clear"/>
          <w:lang w:val="cs-CZ"/>
        </w:rPr>
        <w:t xml:space="preserve">Pro účely prezentace školy využíváme internetové stránky </w:t>
      </w:r>
      <w:hyperlink r:id="rId2">
        <w:r>
          <w:rPr>
            <w:rStyle w:val="Internetovodkaz"/>
            <w:rFonts w:ascii="Times New Roman" w:hAnsi="Times New Roman"/>
            <w:color w:val="00000A"/>
            <w:sz w:val="22"/>
            <w:szCs w:val="22"/>
            <w:highlight w:val="white"/>
            <w:lang w:val="cs-CZ"/>
          </w:rPr>
          <w:t>www.tauslovka.cz</w:t>
        </w:r>
      </w:hyperlink>
      <w:r>
        <w:rPr>
          <w:rFonts w:ascii="Times New Roman" w:hAnsi="Times New Roman"/>
          <w:color w:val="000000" w:themeColor="text1"/>
          <w:sz w:val="22"/>
          <w:szCs w:val="22"/>
          <w:shd w:fill="FFFFFF" w:val="clear"/>
          <w:lang w:val="cs-CZ"/>
        </w:rPr>
        <w:t xml:space="preserve"> nebo zveřejňujeme některé důležité zprávy v běžných médiích (např. místní tisk </w:t>
      </w:r>
      <w:r>
        <w:rPr>
          <w:rFonts w:ascii="Times New Roman" w:hAnsi="Times New Roman"/>
          <w:color w:val="000000" w:themeColor="text1"/>
          <w:sz w:val="22"/>
          <w:szCs w:val="22"/>
          <w:shd w:fill="FFFFFF" w:val="clear"/>
          <w:lang w:val="cs-CZ"/>
        </w:rPr>
        <w:t>)</w:t>
      </w:r>
      <w:r>
        <w:rPr>
          <w:rFonts w:ascii="Times New Roman" w:hAnsi="Times New Roman"/>
          <w:color w:val="000000" w:themeColor="text1"/>
          <w:sz w:val="22"/>
          <w:szCs w:val="22"/>
          <w:shd w:fill="FFFFFF" w:val="clear"/>
          <w:lang w:val="cs-CZ"/>
        </w:rPr>
        <w:t xml:space="preserve">. Může se tedy stát, že za účelem informování veřejnosti o dění v naší škole a pro prezentaci školy zveřejníme jméno a příjmení dítěte </w:t>
      </w:r>
      <w:r>
        <w:rPr>
          <w:rFonts w:ascii="Times New Roman" w:hAnsi="Times New Roman"/>
          <w:color w:val="000000" w:themeColor="text1"/>
          <w:sz w:val="22"/>
          <w:szCs w:val="22"/>
          <w:shd w:fill="FFFFFF" w:val="clear"/>
          <w:lang w:val="cs-CZ"/>
        </w:rPr>
        <w:t xml:space="preserve">a </w:t>
      </w:r>
      <w:r>
        <w:rPr>
          <w:rFonts w:ascii="Times New Roman" w:hAnsi="Times New Roman"/>
          <w:color w:val="000000" w:themeColor="text1"/>
          <w:sz w:val="22"/>
          <w:szCs w:val="22"/>
          <w:shd w:fill="FFFFFF" w:val="clear"/>
          <w:lang w:val="cs-CZ"/>
        </w:rPr>
        <w:t>případně i fotografii, audio a videozáznam nebo výtvarné dílo. Nemusíte se ale bát, k takovému zveřejnění vyžadujeme souhlas se zpracováním osobních údajů.</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r>
    </w:p>
    <w:p>
      <w:pPr>
        <w:pStyle w:val="Normal"/>
        <w:jc w:val="left"/>
        <w:rPr>
          <w:rFonts w:ascii="Times New Roman" w:hAnsi="Times New Roman"/>
          <w:b/>
          <w:b/>
          <w:color w:val="000000" w:themeColor="text1"/>
          <w:sz w:val="22"/>
          <w:szCs w:val="22"/>
          <w:highlight w:val="white"/>
          <w:lang w:val="cs-CZ"/>
        </w:rPr>
      </w:pPr>
      <w:r>
        <w:rPr/>
      </w:r>
    </w:p>
    <w:p>
      <w:pPr>
        <w:pStyle w:val="Normal"/>
        <w:jc w:val="left"/>
        <w:rPr>
          <w:rFonts w:ascii="Times New Roman" w:hAnsi="Times New Roman"/>
          <w:b/>
          <w:b/>
          <w:color w:val="000000" w:themeColor="text1"/>
          <w:sz w:val="22"/>
          <w:szCs w:val="22"/>
          <w:highlight w:val="white"/>
          <w:lang w:val="cs-CZ"/>
        </w:rPr>
      </w:pPr>
      <w:r>
        <w:rPr/>
      </w:r>
    </w:p>
    <w:p>
      <w:pPr>
        <w:pStyle w:val="Normal"/>
        <w:jc w:val="left"/>
        <w:rPr>
          <w:rFonts w:ascii="Times New Roman" w:hAnsi="Times New Roman"/>
          <w:b/>
          <w:b/>
          <w:color w:val="000000" w:themeColor="text1"/>
          <w:sz w:val="22"/>
          <w:szCs w:val="22"/>
          <w:highlight w:val="white"/>
          <w:lang w:val="cs-CZ"/>
        </w:rPr>
      </w:pPr>
      <w:r>
        <w:rPr/>
      </w:r>
    </w:p>
    <w:p>
      <w:pPr>
        <w:pStyle w:val="Normal"/>
        <w:jc w:val="left"/>
        <w:rPr>
          <w:rFonts w:ascii="Times New Roman" w:hAnsi="Times New Roman"/>
          <w:b/>
          <w:b/>
          <w:color w:val="000000" w:themeColor="text1"/>
          <w:sz w:val="22"/>
          <w:szCs w:val="22"/>
          <w:highlight w:val="white"/>
          <w:lang w:val="cs-CZ"/>
        </w:rPr>
      </w:pPr>
      <w:r>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Hospodářská činnost a účetnictví</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Poučení o právech subjektů osobních údajů</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Každý subjekt osobních údajů má následující práva:</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požadovat omezení zpracování osobních údajů,</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požadovat vysvětlení ohledně zpracování osobních údajů,</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požadovat informaci, jaké osobní údaje jsou na základě souhlasu zpracovávány,</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vzít souhlas se zpracováním údajů kdykoliv zpět,</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vyžádat si přístup k údajům a nechat je aktualizovat, opravit nebo doplnit,</w:t>
      </w:r>
    </w:p>
    <w:p>
      <w:pPr>
        <w:pStyle w:val="Normal"/>
        <w:numPr>
          <w:ilvl w:val="0"/>
          <w:numId w:val="4"/>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požadovat výmaz osobních údajů,</w:t>
      </w:r>
    </w:p>
    <w:p>
      <w:pPr>
        <w:pStyle w:val="Normal"/>
        <w:numPr>
          <w:ilvl w:val="0"/>
          <w:numId w:val="4"/>
        </w:numPr>
        <w:jc w:val="left"/>
        <w:rPr/>
      </w:pPr>
      <w:r>
        <w:rPr>
          <w:rFonts w:ascii="Times New Roman" w:hAnsi="Times New Roman"/>
          <w:color w:val="000000" w:themeColor="text1"/>
          <w:sz w:val="22"/>
          <w:szCs w:val="22"/>
          <w:shd w:fill="FFFFFF" w:val="clear"/>
          <w:lang w:val="cs-CZ"/>
        </w:rPr>
        <w:t>v případě pochybností o dodržování pravidel souvisejících se zpracováním osobních údajů se obrátit na správce nebo se stížností na Úřad pro ochranu osobních údajů (</w:t>
      </w:r>
      <w:hyperlink r:id="rId3">
        <w:r>
          <w:rPr>
            <w:rStyle w:val="Internetovodkaz"/>
            <w:rFonts w:ascii="Times New Roman" w:hAnsi="Times New Roman"/>
            <w:color w:val="000000" w:themeColor="text1"/>
            <w:sz w:val="22"/>
            <w:szCs w:val="22"/>
            <w:highlight w:val="white"/>
            <w:lang w:val="cs-CZ"/>
          </w:rPr>
          <w:t>www.uoou.cz</w:t>
        </w:r>
      </w:hyperlink>
      <w:r>
        <w:rPr>
          <w:rFonts w:ascii="Times New Roman" w:hAnsi="Times New Roman"/>
          <w:color w:val="000000" w:themeColor="text1"/>
          <w:sz w:val="22"/>
          <w:szCs w:val="22"/>
          <w:shd w:fill="FFFFFF" w:val="clear"/>
          <w:lang w:val="cs-CZ"/>
        </w:rPr>
        <w:t>)</w:t>
      </w:r>
    </w:p>
    <w:p>
      <w:pPr>
        <w:pStyle w:val="Normal"/>
        <w:jc w:val="left"/>
        <w:rPr>
          <w:rFonts w:ascii="Times New Roman" w:hAnsi="Times New Roman"/>
          <w:b/>
          <w:b/>
          <w:color w:val="000000" w:themeColor="text1"/>
          <w:sz w:val="22"/>
          <w:szCs w:val="22"/>
          <w:shd w:fill="FFFFFF" w:val="clear"/>
          <w:lang w:val="cs-CZ"/>
        </w:rPr>
      </w:pPr>
      <w:r>
        <w:rPr>
          <w:rFonts w:ascii="Times New Roman" w:hAnsi="Times New Roman"/>
          <w:b/>
          <w:color w:val="000000" w:themeColor="text1"/>
          <w:sz w:val="22"/>
          <w:szCs w:val="22"/>
          <w:shd w:fill="FFFFFF" w:val="clear"/>
          <w:lang w:val="cs-CZ"/>
        </w:rPr>
      </w:r>
    </w:p>
    <w:p>
      <w:pPr>
        <w:pStyle w:val="Normal"/>
        <w:jc w:val="left"/>
        <w:rPr>
          <w:rFonts w:ascii="Times New Roman" w:hAnsi="Times New Roman"/>
          <w:b/>
          <w:b/>
          <w:color w:val="000000" w:themeColor="text1"/>
          <w:sz w:val="22"/>
          <w:szCs w:val="22"/>
          <w:shd w:fill="FFFFFF" w:val="clear"/>
          <w:lang w:val="cs-CZ"/>
        </w:rPr>
      </w:pPr>
      <w:r>
        <w:rPr>
          <w:rFonts w:ascii="Times New Roman" w:hAnsi="Times New Roman"/>
          <w:b/>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Příjemci osobních údajů</w:t>
      </w:r>
    </w:p>
    <w:p>
      <w:pPr>
        <w:pStyle w:val="Normal"/>
        <w:jc w:val="left"/>
        <w:rPr/>
      </w:pPr>
      <w:r>
        <w:rPr>
          <w:rFonts w:ascii="Times New Roman" w:hAnsi="Times New Roman"/>
          <w:color w:val="000000" w:themeColor="text1"/>
          <w:sz w:val="22"/>
          <w:szCs w:val="22"/>
          <w:shd w:fill="FFFFFF" w:val="clear"/>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soutěží, organizátor akce ...). Příjemci osobních údajů získávají pouze jen ty osobní údaje, které nezbytně potřebují pro zajištění a výkon činnosti vůči škole.</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Zabezpečení osobních údajů</w:t>
      </w:r>
    </w:p>
    <w:p>
      <w:pPr>
        <w:pStyle w:val="Normal"/>
        <w:jc w:val="left"/>
        <w:rPr/>
      </w:pPr>
      <w:r>
        <w:rPr>
          <w:rFonts w:ascii="Times New Roman" w:hAnsi="Times New Roman"/>
          <w:color w:val="000000" w:themeColor="text1"/>
          <w:sz w:val="22"/>
          <w:szCs w:val="22"/>
          <w:shd w:fill="FFFFFF" w:val="clear"/>
          <w:lang w:val="cs-CZ"/>
        </w:rPr>
        <w:t>Víme, že ochrana soukromí dětí,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zaměstnanci školy jsou vázáni mlčenlivostí o skutečnostech, o nichž se dozvěděli při výkonu své práce</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 xml:space="preserve">osobní údaje jsou ukládány do uzamykatelných prostorů, kam má přístup pouze omezený počet zaměstnanců školy. </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pokud předáváme osobní údaje některým příjemcům (viz výše), vždy se ujišťujeme</w:t>
      </w:r>
    </w:p>
    <w:p>
      <w:pPr>
        <w:pStyle w:val="Normal"/>
        <w:numPr>
          <w:ilvl w:val="1"/>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že se jedná o osoby, které jsou oprávněny s údaji nakládat</w:t>
      </w:r>
    </w:p>
    <w:p>
      <w:pPr>
        <w:pStyle w:val="Normal"/>
        <w:numPr>
          <w:ilvl w:val="1"/>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že nezískávají ty osobní údaje, které nezbytně nepotřebují pro výkon své činnosti</w:t>
      </w:r>
    </w:p>
    <w:p>
      <w:pPr>
        <w:pStyle w:val="Normal"/>
        <w:numPr>
          <w:ilvl w:val="1"/>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že taková osoba s osobními údaji zachází s náležitou péči a opatrností</w:t>
      </w:r>
    </w:p>
    <w:p>
      <w:pPr>
        <w:pStyle w:val="Normal"/>
        <w:numPr>
          <w:ilvl w:val="1"/>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že příjemce bude dodržovat stejnou mlčenlivost, jakou jsou vázáni zaměstnanci školy</w:t>
      </w:r>
    </w:p>
    <w:p>
      <w:pPr>
        <w:pStyle w:val="Normal"/>
        <w:numPr>
          <w:ilvl w:val="0"/>
          <w:numId w:val="5"/>
        </w:numPr>
        <w:jc w:val="left"/>
        <w:rPr/>
      </w:pPr>
      <w:r>
        <w:rPr>
          <w:rFonts w:ascii="Times New Roman" w:hAnsi="Times New Roman"/>
          <w:color w:val="000000" w:themeColor="text1"/>
          <w:sz w:val="22"/>
          <w:szCs w:val="22"/>
          <w:shd w:fill="FFFFFF" w:val="clear"/>
          <w:lang w:val="cs-CZ"/>
        </w:rPr>
        <w:t xml:space="preserve">při zveřejňování výsledků z přijímacího řízení využíváme tzv. pseudonymizaci, kdy výsledky dětí nejsou zveřejňovány pod jejich jménem, ale pod určitým identifikátorem (např. </w:t>
      </w:r>
      <w:r>
        <w:rPr>
          <w:rFonts w:ascii="Times New Roman" w:hAnsi="Times New Roman"/>
          <w:color w:val="000000" w:themeColor="text1"/>
          <w:sz w:val="22"/>
          <w:szCs w:val="22"/>
          <w:shd w:fill="FFFFFF" w:val="clear"/>
          <w:lang w:val="cs-CZ"/>
        </w:rPr>
        <w:t>registračním číslem</w:t>
      </w:r>
      <w:r>
        <w:rPr>
          <w:rFonts w:ascii="Times New Roman" w:hAnsi="Times New Roman"/>
          <w:color w:val="000000" w:themeColor="text1"/>
          <w:sz w:val="22"/>
          <w:szCs w:val="22"/>
          <w:shd w:fill="FFFFFF" w:val="clear"/>
          <w:lang w:val="cs-CZ"/>
        </w:rPr>
        <w:t>)</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k osobním údajům mají v rámci organizace přístup jen ti zaměstnanci, kteří jsou oprávněni s osobními údaji nakládat</w:t>
      </w:r>
    </w:p>
    <w:p>
      <w:pPr>
        <w:pStyle w:val="Normal"/>
        <w:numPr>
          <w:ilvl w:val="0"/>
          <w:numId w:val="5"/>
        </w:numPr>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zabezpečení údajů je průběžně kontrolováno a aktualizováno s ohledem na způsoby jakým se s osobními údaji zachází</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jc w:val="left"/>
        <w:rPr>
          <w:b/>
          <w:b/>
          <w:color w:val="000000" w:themeColor="text1"/>
          <w:sz w:val="22"/>
          <w:szCs w:val="22"/>
          <w:highlight w:val="white"/>
          <w:lang w:val="cs-CZ"/>
        </w:rPr>
      </w:pPr>
      <w:r>
        <w:rPr>
          <w:rFonts w:ascii="Times New Roman" w:hAnsi="Times New Roman"/>
          <w:b/>
          <w:color w:val="000000" w:themeColor="text1"/>
          <w:sz w:val="22"/>
          <w:szCs w:val="22"/>
          <w:shd w:fill="FFFFFF" w:val="clear"/>
          <w:lang w:val="cs-CZ"/>
        </w:rPr>
        <w:t>Závěr</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pPr>
        <w:pStyle w:val="Normal"/>
        <w:jc w:val="left"/>
        <w:rPr>
          <w:color w:val="000000" w:themeColor="text1"/>
          <w:sz w:val="22"/>
          <w:szCs w:val="22"/>
          <w:highlight w:val="white"/>
          <w:lang w:val="cs-CZ"/>
        </w:rPr>
      </w:pPr>
      <w:r>
        <w:rPr>
          <w:rFonts w:ascii="Times New Roman" w:hAnsi="Times New Roman"/>
          <w:color w:val="000000" w:themeColor="text1"/>
          <w:sz w:val="22"/>
          <w:szCs w:val="22"/>
          <w:shd w:fill="FFFFFF" w:val="clear"/>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pPr>
        <w:pStyle w:val="Normal"/>
        <w:jc w:val="left"/>
        <w:rPr>
          <w:rFonts w:ascii="Times New Roman" w:hAnsi="Times New Roman"/>
        </w:rPr>
      </w:pPr>
      <w:r>
        <w:rPr>
          <w:rFonts w:ascii="Times New Roman" w:hAnsi="Times New Roman"/>
          <w:color w:val="000000" w:themeColor="text1"/>
          <w:sz w:val="22"/>
          <w:szCs w:val="22"/>
          <w:shd w:fill="FFFFFF" w:val="clear"/>
          <w:lang w:val="cs-CZ"/>
        </w:rPr>
        <w:t xml:space="preserve">Transparentní zacházení s informacemi je v této oblasti důležitá, proto máte-li nějaké dotazy, napište nám třeba na náš </w:t>
      </w:r>
      <w:r>
        <w:rPr>
          <w:rFonts w:ascii="Times New Roman" w:hAnsi="Times New Roman"/>
          <w:color w:val="000000" w:themeColor="text1"/>
          <w:sz w:val="22"/>
          <w:szCs w:val="22"/>
          <w:lang w:val="cs-CZ"/>
        </w:rPr>
        <w:t>mail skolka@tauslovka.cz</w:t>
      </w:r>
      <w:r>
        <w:rPr>
          <w:rFonts w:ascii="Times New Roman" w:hAnsi="Times New Roman"/>
          <w:color w:val="000000" w:themeColor="text1"/>
          <w:sz w:val="22"/>
          <w:szCs w:val="22"/>
          <w:shd w:fill="FFFFFF" w:val="clear"/>
          <w:lang w:val="cs-CZ"/>
        </w:rPr>
        <w:t xml:space="preserve"> nebo využijte výše uvedených kontaktů.</w:t>
      </w:r>
    </w:p>
    <w:p>
      <w:pPr>
        <w:pStyle w:val="Normal"/>
        <w:jc w:val="left"/>
        <w:rPr>
          <w:rFonts w:ascii="Times New Roman" w:hAnsi="Times New Roman"/>
          <w:color w:val="000000" w:themeColor="text1"/>
          <w:sz w:val="22"/>
          <w:szCs w:val="22"/>
          <w:shd w:fill="FFFFFF" w:val="clear"/>
          <w:lang w:val="cs-CZ"/>
        </w:rPr>
      </w:pPr>
      <w:r>
        <w:rPr>
          <w:rFonts w:ascii="Times New Roman" w:hAnsi="Times New Roman"/>
          <w:color w:val="000000" w:themeColor="text1"/>
          <w:sz w:val="22"/>
          <w:szCs w:val="22"/>
          <w:shd w:fill="FFFFFF" w:val="clear"/>
          <w:lang w:val="cs-CZ"/>
        </w:rPr>
      </w:r>
    </w:p>
    <w:p>
      <w:pPr>
        <w:pStyle w:val="Normal"/>
        <w:widowControl/>
        <w:bidi w:val="0"/>
        <w:spacing w:lineRule="auto" w:line="276" w:before="200" w:after="200"/>
        <w:jc w:val="left"/>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rPr/>
      </w:pPr>
      <w:r>
        <w:rPr>
          <w:rStyle w:val="Footnotereference"/>
        </w:rPr>
        <w:footnoteRef/>
        <w:tab/>
      </w:r>
      <w:r>
        <w:rPr/>
        <w:t xml:space="preserve"> </w:t>
      </w:r>
      <w:r>
        <w:rPr/>
        <w:t>viz § 9 zákona č. 500/2004 Sb., správní řád.</w:t>
      </w:r>
    </w:p>
  </w:footnote>
  <w:footnote w:id="3">
    <w:p>
      <w:pPr>
        <w:pStyle w:val="Footnotetext"/>
        <w:jc w:val="both"/>
        <w:rPr/>
      </w:pPr>
      <w:r>
        <w:rPr>
          <w:rStyle w:val="Footnotereference"/>
        </w:rPr>
        <w:footnoteRef/>
        <w:tab/>
      </w:r>
      <w:r>
        <w:rPr/>
        <w:t xml:space="preserve"> </w:t>
      </w:r>
      <w:r>
        <w:rPr/>
        <w:t>Tyto údaje shromažďujeme jen v nezbytném rozsahu, a to pro oprávněné zájmy školy, kdy za účelem co nejvyšší kvality vzdělávání potřebujeme znát historii vzdělávání žáka jakož i další informace, které slouží pro zajištění jeho vzdělávacích potřeb.</w:t>
      </w:r>
    </w:p>
  </w:footnote>
  <w:footnote w:id="4">
    <w:p>
      <w:pPr>
        <w:pStyle w:val="Footnotetext"/>
        <w:jc w:val="both"/>
        <w:rPr/>
      </w:pPr>
      <w:r>
        <w:rPr>
          <w:rStyle w:val="Footnotereference"/>
        </w:rPr>
        <w:footnoteRef/>
        <w:tab/>
      </w:r>
      <w:r>
        <w:rPr/>
        <w:t xml:space="preserve"> </w:t>
      </w:r>
      <w:r>
        <w:rPr>
          <w:szCs w:val="22"/>
        </w:rPr>
        <w:t xml:space="preserve">Nařízení Evropského parlamentu a Rady (EU) 2016/679 ze dne 27. dubna 2016 o ochraně fyzických osob </w:t>
      </w:r>
    </w:p>
    <w:p>
      <w:pPr>
        <w:pStyle w:val="Footnotetext"/>
        <w:jc w:val="both"/>
        <w:rPr/>
      </w:pPr>
      <w:r>
        <w:rPr>
          <w:szCs w:val="22"/>
        </w:rPr>
        <w:tab/>
        <w:t>v souvislosti se zpracováním osobních údajů a o volném pohybu těchto údajů a o zrušení směrnice 95/46/ES (obecné nařízení o ochraně osobních údajů).</w:t>
      </w:r>
    </w:p>
  </w:footnote>
  <w:footnote w:id="5">
    <w:p>
      <w:pPr>
        <w:pStyle w:val="Footnotetext"/>
        <w:rPr/>
      </w:pPr>
      <w:r>
        <w:rPr>
          <w:rStyle w:val="Footnotereference"/>
        </w:rPr>
        <w:footnoteRef/>
        <w:tab/>
      </w:r>
      <w:r>
        <w:rPr/>
        <w:t xml:space="preserve"> </w:t>
      </w:r>
      <w:r>
        <w:rPr/>
        <w:t>Zákon č. 499/2004 Sb., o archivnictví a spisové službě a o změně některých zákonů.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3c47"/>
    <w:pPr>
      <w:widowControl/>
      <w:bidi w:val="0"/>
      <w:spacing w:lineRule="auto" w:line="276" w:before="200" w:after="200"/>
      <w:jc w:val="left"/>
    </w:pPr>
    <w:rPr>
      <w:rFonts w:ascii="Calibri" w:hAnsi="Calibri" w:eastAsia="" w:cs="" w:eastAsiaTheme="minorEastAsia"/>
      <w:color w:val="00000A"/>
      <w:sz w:val="20"/>
      <w:szCs w:val="20"/>
      <w:lang w:val="en-US" w:eastAsia="en-US" w:bidi="en-US"/>
    </w:rPr>
  </w:style>
  <w:style w:type="character" w:styleId="DefaultParagraphFont" w:default="1">
    <w:name w:val="Default Paragraph Font"/>
    <w:uiPriority w:val="1"/>
    <w:semiHidden/>
    <w:unhideWhenUsed/>
    <w:qFormat/>
    <w:rPr/>
  </w:style>
  <w:style w:type="character" w:styleId="TextpoznpodarouChar" w:customStyle="1">
    <w:name w:val="Text pozn. pod čarou Char"/>
    <w:basedOn w:val="DefaultParagraphFont"/>
    <w:link w:val="Textpoznpodarou"/>
    <w:uiPriority w:val="99"/>
    <w:qFormat/>
    <w:rsid w:val="00a93c47"/>
    <w:rPr>
      <w:rFonts w:ascii="Times New Roman" w:hAnsi="Times New Roman" w:eastAsia="Times New Roman" w:cs="Times New Roman"/>
      <w:sz w:val="20"/>
      <w:szCs w:val="20"/>
      <w:lang w:eastAsia="cs-CZ"/>
    </w:rPr>
  </w:style>
  <w:style w:type="character" w:styleId="Footnotereference">
    <w:name w:val="footnote reference"/>
    <w:basedOn w:val="DefaultParagraphFont"/>
    <w:uiPriority w:val="99"/>
    <w:semiHidden/>
    <w:unhideWhenUsed/>
    <w:qFormat/>
    <w:rsid w:val="00a93c47"/>
    <w:rPr>
      <w:vertAlign w:val="superscript"/>
    </w:rPr>
  </w:style>
  <w:style w:type="character" w:styleId="Internetovodkaz">
    <w:name w:val="Internetový odkaz"/>
    <w:basedOn w:val="DefaultParagraphFont"/>
    <w:uiPriority w:val="99"/>
    <w:unhideWhenUsed/>
    <w:rsid w:val="00a93c47"/>
    <w:rPr>
      <w:color w:val="0000FF"/>
      <w:u w:val="single"/>
    </w:rPr>
  </w:style>
  <w:style w:type="character" w:styleId="ListLabel1">
    <w:name w:val="ListLabel 1"/>
    <w:qFormat/>
    <w:rPr>
      <w:sz w:val="22"/>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2"/>
    </w:rPr>
  </w:style>
  <w:style w:type="character" w:styleId="ListLabel11">
    <w:name w:val="ListLabel 11"/>
    <w:qFormat/>
    <w:rPr>
      <w:sz w:val="22"/>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sz w:val="22"/>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sz w:val="22"/>
    </w:rPr>
  </w:style>
  <w:style w:type="character" w:styleId="ListLabel26">
    <w:name w:val="ListLabel 26"/>
    <w:qFormat/>
    <w:rPr>
      <w:rFonts w:cs="Courier New"/>
    </w:rPr>
  </w:style>
  <w:style w:type="character" w:styleId="ListLabel27">
    <w:name w:val="ListLabel 27"/>
    <w:qFormat/>
    <w:rPr>
      <w:rFonts w:cs="Courier New"/>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28">
    <w:name w:val="ListLabel 28"/>
    <w:qFormat/>
    <w:rPr>
      <w:rFonts w:cs="Symbol"/>
      <w:sz w:val="22"/>
    </w:rPr>
  </w:style>
  <w:style w:type="character" w:styleId="ListLabel29">
    <w:name w:val="ListLabel 29"/>
    <w:qFormat/>
    <w:rPr>
      <w:rFonts w:cs="Courier New"/>
      <w:sz w:val="20"/>
    </w:rPr>
  </w:style>
  <w:style w:type="character" w:styleId="ListLabel30">
    <w:name w:val="ListLabel 30"/>
    <w:qFormat/>
    <w:rPr>
      <w:rFonts w:cs="Wingdings"/>
      <w:sz w:val="20"/>
    </w:rPr>
  </w:style>
  <w:style w:type="character" w:styleId="ListLabel31">
    <w:name w:val="ListLabel 31"/>
    <w:qFormat/>
    <w:rPr>
      <w:rFonts w:cs="Wingdings"/>
      <w:sz w:val="20"/>
    </w:rPr>
  </w:style>
  <w:style w:type="character" w:styleId="ListLabel32">
    <w:name w:val="ListLabel 32"/>
    <w:qFormat/>
    <w:rPr>
      <w:rFonts w:cs="Wingdings"/>
      <w:sz w:val="20"/>
    </w:rPr>
  </w:style>
  <w:style w:type="character" w:styleId="ListLabel33">
    <w:name w:val="ListLabel 33"/>
    <w:qFormat/>
    <w:rPr>
      <w:rFonts w:cs="Wingdings"/>
      <w:sz w:val="20"/>
    </w:rPr>
  </w:style>
  <w:style w:type="character" w:styleId="ListLabel34">
    <w:name w:val="ListLabel 34"/>
    <w:qFormat/>
    <w:rPr>
      <w:rFonts w:cs="Wingdings"/>
      <w:sz w:val="20"/>
    </w:rPr>
  </w:style>
  <w:style w:type="character" w:styleId="ListLabel35">
    <w:name w:val="ListLabel 35"/>
    <w:qFormat/>
    <w:rPr>
      <w:rFonts w:cs="Wingdings"/>
      <w:sz w:val="20"/>
    </w:rPr>
  </w:style>
  <w:style w:type="character" w:styleId="ListLabel36">
    <w:name w:val="ListLabel 36"/>
    <w:qFormat/>
    <w:rPr>
      <w:rFonts w:cs="Wingdings"/>
      <w:sz w:val="20"/>
    </w:rPr>
  </w:style>
  <w:style w:type="character" w:styleId="ListLabel37">
    <w:name w:val="ListLabel 37"/>
    <w:qFormat/>
    <w:rPr>
      <w:rFonts w:cs="Symbol"/>
      <w:sz w:val="22"/>
    </w:rPr>
  </w:style>
  <w:style w:type="character" w:styleId="ListLabel38">
    <w:name w:val="ListLabel 38"/>
    <w:qFormat/>
    <w:rPr>
      <w:rFonts w:cs="Courier New"/>
      <w:sz w:val="22"/>
    </w:rPr>
  </w:style>
  <w:style w:type="character" w:styleId="ListLabel39">
    <w:name w:val="ListLabel 39"/>
    <w:qFormat/>
    <w:rPr>
      <w:rFonts w:cs="Wingdings"/>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cs="Wingdings"/>
      <w:sz w:val="20"/>
    </w:rPr>
  </w:style>
  <w:style w:type="character" w:styleId="ListLabel43">
    <w:name w:val="ListLabel 43"/>
    <w:qFormat/>
    <w:rPr>
      <w:rFonts w:cs="Wingdings"/>
      <w:sz w:val="20"/>
    </w:rPr>
  </w:style>
  <w:style w:type="character" w:styleId="ListLabel44">
    <w:name w:val="ListLabel 44"/>
    <w:qFormat/>
    <w:rPr>
      <w:rFonts w:cs="Wingdings"/>
      <w:sz w:val="20"/>
    </w:rPr>
  </w:style>
  <w:style w:type="character" w:styleId="ListLabel45">
    <w:name w:val="ListLabel 45"/>
    <w:qFormat/>
    <w:rPr>
      <w:rFonts w:cs="Wingdings"/>
      <w:sz w:val="20"/>
    </w:rPr>
  </w:style>
  <w:style w:type="character" w:styleId="ListLabel46">
    <w:name w:val="ListLabel 46"/>
    <w:qFormat/>
    <w:rPr>
      <w:rFonts w:cs="Symbol"/>
      <w:sz w:val="22"/>
    </w:rPr>
  </w:style>
  <w:style w:type="character" w:styleId="ListLabel47">
    <w:name w:val="ListLabel 47"/>
    <w:qFormat/>
    <w:rPr>
      <w:rFonts w:cs="Courier New"/>
      <w:sz w:val="22"/>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sz w:val="22"/>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sz w:val="22"/>
    </w:rPr>
  </w:style>
  <w:style w:type="character" w:styleId="ListLabel65">
    <w:name w:val="ListLabel 65"/>
    <w:qFormat/>
    <w:rPr>
      <w:rFonts w:cs="Courier New"/>
      <w:sz w:val="22"/>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sz w:val="22"/>
    </w:rPr>
  </w:style>
  <w:style w:type="character" w:styleId="ListLabel74">
    <w:name w:val="ListLabel 74"/>
    <w:qFormat/>
    <w:rPr>
      <w:rFonts w:cs="Courier New"/>
      <w:sz w:val="20"/>
    </w:rPr>
  </w:style>
  <w:style w:type="character" w:styleId="ListLabel75">
    <w:name w:val="ListLabel 75"/>
    <w:qFormat/>
    <w:rPr>
      <w:rFonts w:cs="Wingdings"/>
      <w:sz w:val="20"/>
    </w:rPr>
  </w:style>
  <w:style w:type="character" w:styleId="ListLabel76">
    <w:name w:val="ListLabel 76"/>
    <w:qFormat/>
    <w:rPr>
      <w:rFonts w:cs="Wingdings"/>
      <w:sz w:val="20"/>
    </w:rPr>
  </w:style>
  <w:style w:type="character" w:styleId="ListLabel77">
    <w:name w:val="ListLabel 77"/>
    <w:qFormat/>
    <w:rPr>
      <w:rFonts w:cs="Wingdings"/>
      <w:sz w:val="20"/>
    </w:rPr>
  </w:style>
  <w:style w:type="character" w:styleId="ListLabel78">
    <w:name w:val="ListLabel 78"/>
    <w:qFormat/>
    <w:rPr>
      <w:rFonts w:cs="Wingdings"/>
      <w:sz w:val="20"/>
    </w:rPr>
  </w:style>
  <w:style w:type="character" w:styleId="ListLabel79">
    <w:name w:val="ListLabel 79"/>
    <w:qFormat/>
    <w:rPr>
      <w:rFonts w:cs="Wingdings"/>
      <w:sz w:val="20"/>
    </w:rPr>
  </w:style>
  <w:style w:type="character" w:styleId="ListLabel80">
    <w:name w:val="ListLabel 80"/>
    <w:qFormat/>
    <w:rPr>
      <w:rFonts w:cs="Wingdings"/>
      <w:sz w:val="20"/>
    </w:rPr>
  </w:style>
  <w:style w:type="character" w:styleId="ListLabel81">
    <w:name w:val="ListLabel 81"/>
    <w:qFormat/>
    <w:rPr>
      <w:rFonts w:cs="Wingdings"/>
      <w:sz w:val="20"/>
    </w:rPr>
  </w:style>
  <w:style w:type="character" w:styleId="ListLabel82">
    <w:name w:val="ListLabel 82"/>
    <w:qFormat/>
    <w:rPr>
      <w:rFonts w:cs="Symbol"/>
      <w:sz w:val="22"/>
    </w:rPr>
  </w:style>
  <w:style w:type="character" w:styleId="ListLabel83">
    <w:name w:val="ListLabel 83"/>
    <w:qFormat/>
    <w:rPr>
      <w:rFonts w:cs="Courier New"/>
      <w:sz w:val="22"/>
    </w:rPr>
  </w:style>
  <w:style w:type="character" w:styleId="ListLabel84">
    <w:name w:val="ListLabel 84"/>
    <w:qFormat/>
    <w:rPr>
      <w:rFonts w:cs="Wingdings"/>
      <w:sz w:val="20"/>
    </w:rPr>
  </w:style>
  <w:style w:type="character" w:styleId="ListLabel85">
    <w:name w:val="ListLabel 85"/>
    <w:qFormat/>
    <w:rPr>
      <w:rFonts w:cs="Wingdings"/>
      <w:sz w:val="20"/>
    </w:rPr>
  </w:style>
  <w:style w:type="character" w:styleId="ListLabel86">
    <w:name w:val="ListLabel 86"/>
    <w:qFormat/>
    <w:rPr>
      <w:rFonts w:cs="Wingdings"/>
      <w:sz w:val="20"/>
    </w:rPr>
  </w:style>
  <w:style w:type="character" w:styleId="ListLabel87">
    <w:name w:val="ListLabel 87"/>
    <w:qFormat/>
    <w:rPr>
      <w:rFonts w:cs="Wingdings"/>
      <w:sz w:val="20"/>
    </w:rPr>
  </w:style>
  <w:style w:type="character" w:styleId="ListLabel88">
    <w:name w:val="ListLabel 88"/>
    <w:qFormat/>
    <w:rPr>
      <w:rFonts w:cs="Wingdings"/>
      <w:sz w:val="20"/>
    </w:rPr>
  </w:style>
  <w:style w:type="character" w:styleId="ListLabel89">
    <w:name w:val="ListLabel 89"/>
    <w:qFormat/>
    <w:rPr>
      <w:rFonts w:cs="Wingdings"/>
      <w:sz w:val="20"/>
    </w:rPr>
  </w:style>
  <w:style w:type="character" w:styleId="ListLabel90">
    <w:name w:val="ListLabel 90"/>
    <w:qFormat/>
    <w:rPr>
      <w:rFonts w:cs="Wingdings"/>
      <w:sz w:val="20"/>
    </w:rPr>
  </w:style>
  <w:style w:type="character" w:styleId="ListLabel91">
    <w:name w:val="ListLabel 91"/>
    <w:qFormat/>
    <w:rPr>
      <w:rFonts w:cs="Symbol"/>
      <w:sz w:val="22"/>
    </w:rPr>
  </w:style>
  <w:style w:type="character" w:styleId="ListLabel92">
    <w:name w:val="ListLabel 92"/>
    <w:qFormat/>
    <w:rPr>
      <w:rFonts w:cs="Courier New"/>
      <w:sz w:val="22"/>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sz w:val="22"/>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sz w:val="22"/>
    </w:rPr>
  </w:style>
  <w:style w:type="character" w:styleId="ListLabel110">
    <w:name w:val="ListLabel 110"/>
    <w:qFormat/>
    <w:rPr>
      <w:rFonts w:cs="Courier New"/>
      <w:sz w:val="22"/>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sz w:val="22"/>
    </w:rPr>
  </w:style>
  <w:style w:type="character" w:styleId="ListLabel119">
    <w:name w:val="ListLabel 119"/>
    <w:qFormat/>
    <w:rPr>
      <w:rFonts w:cs="Courier New"/>
      <w:sz w:val="20"/>
    </w:rPr>
  </w:style>
  <w:style w:type="character" w:styleId="ListLabel120">
    <w:name w:val="ListLabel 120"/>
    <w:qFormat/>
    <w:rPr>
      <w:rFonts w:cs="Wingdings"/>
      <w:sz w:val="20"/>
    </w:rPr>
  </w:style>
  <w:style w:type="character" w:styleId="ListLabel121">
    <w:name w:val="ListLabel 121"/>
    <w:qFormat/>
    <w:rPr>
      <w:rFonts w:cs="Wingdings"/>
      <w:sz w:val="20"/>
    </w:rPr>
  </w:style>
  <w:style w:type="character" w:styleId="ListLabel122">
    <w:name w:val="ListLabel 122"/>
    <w:qFormat/>
    <w:rPr>
      <w:rFonts w:cs="Wingdings"/>
      <w:sz w:val="20"/>
    </w:rPr>
  </w:style>
  <w:style w:type="character" w:styleId="ListLabel123">
    <w:name w:val="ListLabel 123"/>
    <w:qFormat/>
    <w:rPr>
      <w:rFonts w:cs="Wingdings"/>
      <w:sz w:val="20"/>
    </w:rPr>
  </w:style>
  <w:style w:type="character" w:styleId="ListLabel124">
    <w:name w:val="ListLabel 124"/>
    <w:qFormat/>
    <w:rPr>
      <w:rFonts w:cs="Wingdings"/>
      <w:sz w:val="20"/>
    </w:rPr>
  </w:style>
  <w:style w:type="character" w:styleId="ListLabel125">
    <w:name w:val="ListLabel 125"/>
    <w:qFormat/>
    <w:rPr>
      <w:rFonts w:cs="Wingdings"/>
      <w:sz w:val="20"/>
    </w:rPr>
  </w:style>
  <w:style w:type="character" w:styleId="ListLabel126">
    <w:name w:val="ListLabel 126"/>
    <w:qFormat/>
    <w:rPr>
      <w:rFonts w:cs="Wingdings"/>
      <w:sz w:val="20"/>
    </w:rPr>
  </w:style>
  <w:style w:type="character" w:styleId="ListLabel127">
    <w:name w:val="ListLabel 127"/>
    <w:qFormat/>
    <w:rPr>
      <w:rFonts w:cs="Symbol"/>
      <w:sz w:val="22"/>
    </w:rPr>
  </w:style>
  <w:style w:type="character" w:styleId="ListLabel128">
    <w:name w:val="ListLabel 128"/>
    <w:qFormat/>
    <w:rPr>
      <w:rFonts w:cs="Courier New"/>
      <w:sz w:val="22"/>
    </w:rPr>
  </w:style>
  <w:style w:type="character" w:styleId="ListLabel129">
    <w:name w:val="ListLabel 129"/>
    <w:qFormat/>
    <w:rPr>
      <w:rFonts w:cs="Wingdings"/>
      <w:sz w:val="20"/>
    </w:rPr>
  </w:style>
  <w:style w:type="character" w:styleId="ListLabel130">
    <w:name w:val="ListLabel 130"/>
    <w:qFormat/>
    <w:rPr>
      <w:rFonts w:cs="Wingdings"/>
      <w:sz w:val="20"/>
    </w:rPr>
  </w:style>
  <w:style w:type="character" w:styleId="ListLabel131">
    <w:name w:val="ListLabel 131"/>
    <w:qFormat/>
    <w:rPr>
      <w:rFonts w:cs="Wingdings"/>
      <w:sz w:val="20"/>
    </w:rPr>
  </w:style>
  <w:style w:type="character" w:styleId="ListLabel132">
    <w:name w:val="ListLabel 132"/>
    <w:qFormat/>
    <w:rPr>
      <w:rFonts w:cs="Wingdings"/>
      <w:sz w:val="20"/>
    </w:rPr>
  </w:style>
  <w:style w:type="character" w:styleId="ListLabel133">
    <w:name w:val="ListLabel 133"/>
    <w:qFormat/>
    <w:rPr>
      <w:rFonts w:cs="Wingdings"/>
      <w:sz w:val="20"/>
    </w:rPr>
  </w:style>
  <w:style w:type="character" w:styleId="ListLabel134">
    <w:name w:val="ListLabel 134"/>
    <w:qFormat/>
    <w:rPr>
      <w:rFonts w:cs="Wingdings"/>
      <w:sz w:val="20"/>
    </w:rPr>
  </w:style>
  <w:style w:type="character" w:styleId="ListLabel135">
    <w:name w:val="ListLabel 135"/>
    <w:qFormat/>
    <w:rPr>
      <w:rFonts w:cs="Wingdings"/>
      <w:sz w:val="20"/>
    </w:rPr>
  </w:style>
  <w:style w:type="character" w:styleId="ListLabel136">
    <w:name w:val="ListLabel 136"/>
    <w:qFormat/>
    <w:rPr>
      <w:rFonts w:cs="Symbol"/>
      <w:sz w:val="22"/>
    </w:rPr>
  </w:style>
  <w:style w:type="character" w:styleId="ListLabel137">
    <w:name w:val="ListLabel 137"/>
    <w:qFormat/>
    <w:rPr>
      <w:rFonts w:cs="Courier New"/>
      <w:sz w:val="22"/>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sz w:val="22"/>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sz w:val="22"/>
    </w:rPr>
  </w:style>
  <w:style w:type="character" w:styleId="ListLabel155">
    <w:name w:val="ListLabel 155"/>
    <w:qFormat/>
    <w:rPr>
      <w:rFonts w:cs="Courier New"/>
      <w:sz w:val="22"/>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sz w:val="22"/>
    </w:rPr>
  </w:style>
  <w:style w:type="character" w:styleId="ListLabel164">
    <w:name w:val="ListLabel 164"/>
    <w:qFormat/>
    <w:rPr>
      <w:rFonts w:cs="Courier New"/>
      <w:sz w:val="20"/>
    </w:rPr>
  </w:style>
  <w:style w:type="character" w:styleId="ListLabel165">
    <w:name w:val="ListLabel 165"/>
    <w:qFormat/>
    <w:rPr>
      <w:rFonts w:cs="Wingdings"/>
      <w:sz w:val="20"/>
    </w:rPr>
  </w:style>
  <w:style w:type="character" w:styleId="ListLabel166">
    <w:name w:val="ListLabel 166"/>
    <w:qFormat/>
    <w:rPr>
      <w:rFonts w:cs="Wingdings"/>
      <w:sz w:val="20"/>
    </w:rPr>
  </w:style>
  <w:style w:type="character" w:styleId="ListLabel167">
    <w:name w:val="ListLabel 167"/>
    <w:qFormat/>
    <w:rPr>
      <w:rFonts w:cs="Wingdings"/>
      <w:sz w:val="20"/>
    </w:rPr>
  </w:style>
  <w:style w:type="character" w:styleId="ListLabel168">
    <w:name w:val="ListLabel 168"/>
    <w:qFormat/>
    <w:rPr>
      <w:rFonts w:cs="Wingdings"/>
      <w:sz w:val="20"/>
    </w:rPr>
  </w:style>
  <w:style w:type="character" w:styleId="ListLabel169">
    <w:name w:val="ListLabel 169"/>
    <w:qFormat/>
    <w:rPr>
      <w:rFonts w:cs="Wingdings"/>
      <w:sz w:val="20"/>
    </w:rPr>
  </w:style>
  <w:style w:type="character" w:styleId="ListLabel170">
    <w:name w:val="ListLabel 170"/>
    <w:qFormat/>
    <w:rPr>
      <w:rFonts w:cs="Wingdings"/>
      <w:sz w:val="20"/>
    </w:rPr>
  </w:style>
  <w:style w:type="character" w:styleId="ListLabel171">
    <w:name w:val="ListLabel 171"/>
    <w:qFormat/>
    <w:rPr>
      <w:rFonts w:cs="Wingdings"/>
      <w:sz w:val="20"/>
    </w:rPr>
  </w:style>
  <w:style w:type="character" w:styleId="ListLabel172">
    <w:name w:val="ListLabel 172"/>
    <w:qFormat/>
    <w:rPr>
      <w:rFonts w:cs="Symbol"/>
      <w:sz w:val="22"/>
    </w:rPr>
  </w:style>
  <w:style w:type="character" w:styleId="ListLabel173">
    <w:name w:val="ListLabel 173"/>
    <w:qFormat/>
    <w:rPr>
      <w:rFonts w:cs="Courier New"/>
      <w:sz w:val="22"/>
    </w:rPr>
  </w:style>
  <w:style w:type="character" w:styleId="ListLabel174">
    <w:name w:val="ListLabel 174"/>
    <w:qFormat/>
    <w:rPr>
      <w:rFonts w:cs="Wingdings"/>
      <w:sz w:val="20"/>
    </w:rPr>
  </w:style>
  <w:style w:type="character" w:styleId="ListLabel175">
    <w:name w:val="ListLabel 175"/>
    <w:qFormat/>
    <w:rPr>
      <w:rFonts w:cs="Wingdings"/>
      <w:sz w:val="20"/>
    </w:rPr>
  </w:style>
  <w:style w:type="character" w:styleId="ListLabel176">
    <w:name w:val="ListLabel 176"/>
    <w:qFormat/>
    <w:rPr>
      <w:rFonts w:cs="Wingdings"/>
      <w:sz w:val="20"/>
    </w:rPr>
  </w:style>
  <w:style w:type="character" w:styleId="ListLabel177">
    <w:name w:val="ListLabel 177"/>
    <w:qFormat/>
    <w:rPr>
      <w:rFonts w:cs="Wingdings"/>
      <w:sz w:val="20"/>
    </w:rPr>
  </w:style>
  <w:style w:type="character" w:styleId="ListLabel178">
    <w:name w:val="ListLabel 178"/>
    <w:qFormat/>
    <w:rPr>
      <w:rFonts w:cs="Wingdings"/>
      <w:sz w:val="20"/>
    </w:rPr>
  </w:style>
  <w:style w:type="character" w:styleId="ListLabel179">
    <w:name w:val="ListLabel 179"/>
    <w:qFormat/>
    <w:rPr>
      <w:rFonts w:cs="Wingdings"/>
      <w:sz w:val="20"/>
    </w:rPr>
  </w:style>
  <w:style w:type="character" w:styleId="ListLabel180">
    <w:name w:val="ListLabel 180"/>
    <w:qFormat/>
    <w:rPr>
      <w:rFonts w:cs="Wingdings"/>
      <w:sz w:val="20"/>
    </w:rPr>
  </w:style>
  <w:style w:type="character" w:styleId="ListLabel181">
    <w:name w:val="ListLabel 181"/>
    <w:qFormat/>
    <w:rPr>
      <w:rFonts w:cs="Symbol"/>
      <w:sz w:val="22"/>
    </w:rPr>
  </w:style>
  <w:style w:type="character" w:styleId="ListLabel182">
    <w:name w:val="ListLabel 182"/>
    <w:qFormat/>
    <w:rPr>
      <w:rFonts w:cs="Courier New"/>
      <w:sz w:val="22"/>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sz w:val="22"/>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sz w:val="22"/>
    </w:rPr>
  </w:style>
  <w:style w:type="character" w:styleId="ListLabel200">
    <w:name w:val="ListLabel 200"/>
    <w:qFormat/>
    <w:rPr>
      <w:rFonts w:cs="Courier New"/>
      <w:sz w:val="22"/>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sz w:val="22"/>
    </w:rPr>
  </w:style>
  <w:style w:type="character" w:styleId="ListLabel209">
    <w:name w:val="ListLabel 209"/>
    <w:qFormat/>
    <w:rPr>
      <w:rFonts w:cs="Courier New"/>
      <w:sz w:val="20"/>
    </w:rPr>
  </w:style>
  <w:style w:type="character" w:styleId="ListLabel210">
    <w:name w:val="ListLabel 210"/>
    <w:qFormat/>
    <w:rPr>
      <w:rFonts w:cs="Wingdings"/>
      <w:sz w:val="20"/>
    </w:rPr>
  </w:style>
  <w:style w:type="character" w:styleId="ListLabel211">
    <w:name w:val="ListLabel 211"/>
    <w:qFormat/>
    <w:rPr>
      <w:rFonts w:cs="Wingdings"/>
      <w:sz w:val="20"/>
    </w:rPr>
  </w:style>
  <w:style w:type="character" w:styleId="ListLabel212">
    <w:name w:val="ListLabel 212"/>
    <w:qFormat/>
    <w:rPr>
      <w:rFonts w:cs="Wingdings"/>
      <w:sz w:val="20"/>
    </w:rPr>
  </w:style>
  <w:style w:type="character" w:styleId="ListLabel213">
    <w:name w:val="ListLabel 213"/>
    <w:qFormat/>
    <w:rPr>
      <w:rFonts w:cs="Wingdings"/>
      <w:sz w:val="20"/>
    </w:rPr>
  </w:style>
  <w:style w:type="character" w:styleId="ListLabel214">
    <w:name w:val="ListLabel 214"/>
    <w:qFormat/>
    <w:rPr>
      <w:rFonts w:cs="Wingdings"/>
      <w:sz w:val="20"/>
    </w:rPr>
  </w:style>
  <w:style w:type="character" w:styleId="ListLabel215">
    <w:name w:val="ListLabel 215"/>
    <w:qFormat/>
    <w:rPr>
      <w:rFonts w:cs="Wingdings"/>
      <w:sz w:val="20"/>
    </w:rPr>
  </w:style>
  <w:style w:type="character" w:styleId="ListLabel216">
    <w:name w:val="ListLabel 216"/>
    <w:qFormat/>
    <w:rPr>
      <w:rFonts w:cs="Wingdings"/>
      <w:sz w:val="20"/>
    </w:rPr>
  </w:style>
  <w:style w:type="character" w:styleId="ListLabel217">
    <w:name w:val="ListLabel 217"/>
    <w:qFormat/>
    <w:rPr>
      <w:rFonts w:cs="Symbol"/>
      <w:sz w:val="22"/>
    </w:rPr>
  </w:style>
  <w:style w:type="character" w:styleId="ListLabel218">
    <w:name w:val="ListLabel 218"/>
    <w:qFormat/>
    <w:rPr>
      <w:rFonts w:cs="Courier New"/>
      <w:sz w:val="22"/>
    </w:rPr>
  </w:style>
  <w:style w:type="character" w:styleId="ListLabel219">
    <w:name w:val="ListLabel 219"/>
    <w:qFormat/>
    <w:rPr>
      <w:rFonts w:cs="Wingdings"/>
      <w:sz w:val="20"/>
    </w:rPr>
  </w:style>
  <w:style w:type="character" w:styleId="ListLabel220">
    <w:name w:val="ListLabel 220"/>
    <w:qFormat/>
    <w:rPr>
      <w:rFonts w:cs="Wingdings"/>
      <w:sz w:val="20"/>
    </w:rPr>
  </w:style>
  <w:style w:type="character" w:styleId="ListLabel221">
    <w:name w:val="ListLabel 221"/>
    <w:qFormat/>
    <w:rPr>
      <w:rFonts w:cs="Wingdings"/>
      <w:sz w:val="20"/>
    </w:rPr>
  </w:style>
  <w:style w:type="character" w:styleId="ListLabel222">
    <w:name w:val="ListLabel 222"/>
    <w:qFormat/>
    <w:rPr>
      <w:rFonts w:cs="Wingdings"/>
      <w:sz w:val="20"/>
    </w:rPr>
  </w:style>
  <w:style w:type="character" w:styleId="ListLabel223">
    <w:name w:val="ListLabel 223"/>
    <w:qFormat/>
    <w:rPr>
      <w:rFonts w:cs="Wingdings"/>
      <w:sz w:val="20"/>
    </w:rPr>
  </w:style>
  <w:style w:type="character" w:styleId="ListLabel224">
    <w:name w:val="ListLabel 224"/>
    <w:qFormat/>
    <w:rPr>
      <w:rFonts w:cs="Wingdings"/>
      <w:sz w:val="20"/>
    </w:rPr>
  </w:style>
  <w:style w:type="character" w:styleId="ListLabel225">
    <w:name w:val="ListLabel 225"/>
    <w:qFormat/>
    <w:rPr>
      <w:rFonts w:cs="Wingdings"/>
      <w:sz w:val="20"/>
    </w:rPr>
  </w:style>
  <w:style w:type="character" w:styleId="ListLabel226">
    <w:name w:val="ListLabel 226"/>
    <w:qFormat/>
    <w:rPr>
      <w:rFonts w:cs="Symbol"/>
      <w:sz w:val="22"/>
    </w:rPr>
  </w:style>
  <w:style w:type="character" w:styleId="ListLabel227">
    <w:name w:val="ListLabel 227"/>
    <w:qFormat/>
    <w:rPr>
      <w:rFonts w:cs="Courier New"/>
      <w:sz w:val="22"/>
    </w:rPr>
  </w:style>
  <w:style w:type="character" w:styleId="ListLabel228">
    <w:name w:val="ListLabel 228"/>
    <w:qFormat/>
    <w:rPr>
      <w:rFonts w:cs="Wingdings"/>
    </w:rPr>
  </w:style>
  <w:style w:type="character" w:styleId="ListLabel229">
    <w:name w:val="ListLabel 229"/>
    <w:qFormat/>
    <w:rPr>
      <w:rFonts w:cs="Symbol"/>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sz w:val="22"/>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sz w:val="22"/>
    </w:rPr>
  </w:style>
  <w:style w:type="character" w:styleId="ListLabel245">
    <w:name w:val="ListLabel 245"/>
    <w:qFormat/>
    <w:rPr>
      <w:rFonts w:cs="Courier New"/>
      <w:sz w:val="22"/>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Footnotetext">
    <w:name w:val="footnote text"/>
    <w:basedOn w:val="Normal"/>
    <w:link w:val="TextpoznpodarouChar"/>
    <w:uiPriority w:val="99"/>
    <w:unhideWhenUsed/>
    <w:qFormat/>
    <w:rsid w:val="00a93c47"/>
    <w:pPr>
      <w:spacing w:lineRule="auto" w:line="240" w:before="0" w:after="0"/>
    </w:pPr>
    <w:rPr>
      <w:rFonts w:ascii="Times New Roman" w:hAnsi="Times New Roman" w:eastAsia="Times New Roman" w:cs="Times New Roman"/>
      <w:lang w:val="cs-CZ" w:eastAsia="cs-CZ" w:bidi="ar-SA"/>
    </w:rPr>
  </w:style>
  <w:style w:type="paragraph" w:styleId="ListParagraph">
    <w:name w:val="List Paragraph"/>
    <w:basedOn w:val="Normal"/>
    <w:uiPriority w:val="34"/>
    <w:qFormat/>
    <w:rsid w:val="00a93c47"/>
    <w:pPr>
      <w:spacing w:lineRule="auto" w:line="240" w:before="0" w:after="0"/>
      <w:ind w:left="720" w:hanging="0"/>
      <w:contextualSpacing/>
    </w:pPr>
    <w:rPr>
      <w:rFonts w:eastAsia="Calibri" w:eastAsiaTheme="minorHAnsi"/>
      <w:sz w:val="24"/>
      <w:szCs w:val="24"/>
      <w:lang w:val="cs-CZ" w:bidi="ar-SA"/>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auslovka.cz/" TargetMode="External"/><Relationship Id="rId3" Type="http://schemas.openxmlformats.org/officeDocument/2006/relationships/hyperlink" Target="http://www.uoou.cz/"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LibreOffice/5.3.4.2$Windows_x86 LibreOffice_project/f82d347ccc0be322489bf7da61d7e4ad13fe2ff3</Application>
  <Pages>7</Pages>
  <Words>2515</Words>
  <Characters>14310</Characters>
  <CharactersWithSpaces>16728</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2018-05-25T01:35:00Z</dcterms:created>
  <dc:creator>HP</dc:creator>
  <dc:description/>
  <dc:language>cs-CZ</dc:language>
  <cp:lastModifiedBy/>
  <dcterms:modified xsi:type="dcterms:W3CDTF">2018-06-17T17:09:43Z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